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7D2A99">
      <w:pPr>
        <w:jc w:val="center"/>
        <w:rPr>
          <w:rFonts w:ascii="Arial" w:hAnsi="Arial" w:cs="Arial"/>
          <w:u w:val="single"/>
        </w:rPr>
      </w:pPr>
    </w:p>
    <w:p w14:paraId="69CFFE43" w14:textId="77777777" w:rsidR="0019072A" w:rsidRDefault="0019072A" w:rsidP="0019072A">
      <w:pPr>
        <w:jc w:val="center"/>
        <w:rPr>
          <w:rFonts w:ascii="Arial" w:hAnsi="Arial" w:cs="Arial"/>
          <w:b/>
          <w:bCs/>
          <w:u w:val="single"/>
        </w:rPr>
      </w:pPr>
    </w:p>
    <w:p w14:paraId="3EEB54D1" w14:textId="3EAA108E" w:rsidR="0019072A" w:rsidRDefault="00373734" w:rsidP="0019072A">
      <w:pPr>
        <w:jc w:val="center"/>
        <w:rPr>
          <w:rFonts w:ascii="Arial" w:hAnsi="Arial" w:cs="Arial"/>
          <w:b/>
          <w:bCs/>
          <w:u w:val="single"/>
        </w:rPr>
      </w:pPr>
      <w:r>
        <w:rPr>
          <w:rFonts w:ascii="Arial" w:hAnsi="Arial" w:cs="Arial"/>
          <w:b/>
          <w:bCs/>
          <w:u w:val="single"/>
        </w:rPr>
        <w:t>IASC grants or loans</w:t>
      </w:r>
    </w:p>
    <w:p w14:paraId="1D49F7CC" w14:textId="77777777" w:rsidR="00373734" w:rsidRDefault="00373734" w:rsidP="0019072A">
      <w:pPr>
        <w:jc w:val="center"/>
        <w:rPr>
          <w:rFonts w:ascii="Arial" w:hAnsi="Arial" w:cs="Arial"/>
          <w:b/>
          <w:bCs/>
          <w:u w:val="single"/>
        </w:rPr>
      </w:pPr>
    </w:p>
    <w:p w14:paraId="57B44BA2" w14:textId="6B5A2F92" w:rsidR="0019072A" w:rsidRDefault="0019072A" w:rsidP="0019072A">
      <w:pPr>
        <w:jc w:val="center"/>
        <w:rPr>
          <w:rFonts w:ascii="Arial" w:hAnsi="Arial" w:cs="Arial"/>
        </w:rPr>
      </w:pPr>
    </w:p>
    <w:p w14:paraId="5646A5F9" w14:textId="68E9BC31" w:rsidR="007D2A99" w:rsidRPr="00373734" w:rsidRDefault="007D2A99" w:rsidP="00E431AF">
      <w:pPr>
        <w:pStyle w:val="ListParagraph"/>
        <w:numPr>
          <w:ilvl w:val="0"/>
          <w:numId w:val="1"/>
        </w:numPr>
        <w:ind w:left="0" w:hanging="567"/>
        <w:rPr>
          <w:rFonts w:ascii="Arial" w:hAnsi="Arial" w:cs="Arial"/>
          <w:szCs w:val="24"/>
          <w:u w:val="single"/>
        </w:rPr>
      </w:pPr>
      <w:r w:rsidRPr="00373734">
        <w:rPr>
          <w:rFonts w:ascii="Arial" w:hAnsi="Arial" w:cs="Arial"/>
          <w:b/>
          <w:bCs/>
          <w:szCs w:val="24"/>
          <w:u w:val="single"/>
        </w:rPr>
        <w:t>Request</w:t>
      </w:r>
      <w:r w:rsidRPr="00373734">
        <w:rPr>
          <w:rFonts w:ascii="Arial" w:hAnsi="Arial" w:cs="Arial"/>
          <w:szCs w:val="24"/>
          <w:u w:val="single"/>
        </w:rPr>
        <w:t>:</w:t>
      </w:r>
    </w:p>
    <w:p w14:paraId="771CCA6D" w14:textId="77777777" w:rsidR="0019072A" w:rsidRPr="00373734" w:rsidRDefault="0019072A" w:rsidP="0019072A">
      <w:pPr>
        <w:ind w:left="360"/>
        <w:rPr>
          <w:rFonts w:ascii="Arial" w:hAnsi="Arial" w:cs="Arial"/>
          <w:color w:val="1F497D"/>
          <w:szCs w:val="24"/>
        </w:rPr>
      </w:pPr>
    </w:p>
    <w:p w14:paraId="5F58E93E" w14:textId="77777777" w:rsidR="00373734" w:rsidRPr="00373734" w:rsidRDefault="00373734" w:rsidP="00373734">
      <w:pPr>
        <w:spacing w:after="240"/>
        <w:rPr>
          <w:rFonts w:ascii="Calibri" w:eastAsia="Calibri" w:hAnsi="Calibri" w:cs="Calibri"/>
          <w:szCs w:val="24"/>
        </w:rPr>
      </w:pPr>
      <w:r w:rsidRPr="00373734">
        <w:rPr>
          <w:rFonts w:ascii="Arial" w:eastAsia="Calibri" w:hAnsi="Arial" w:cs="Arial"/>
          <w:szCs w:val="24"/>
        </w:rPr>
        <w:t>Please provide the following information for 2018-19, 2019-20 and 2020-21:</w:t>
      </w:r>
    </w:p>
    <w:p w14:paraId="70F8DE9F" w14:textId="77777777" w:rsidR="00373734" w:rsidRPr="00373734" w:rsidRDefault="00373734" w:rsidP="00373734">
      <w:pPr>
        <w:numPr>
          <w:ilvl w:val="0"/>
          <w:numId w:val="5"/>
        </w:numPr>
        <w:ind w:left="284"/>
        <w:textAlignment w:val="baseline"/>
        <w:rPr>
          <w:rFonts w:ascii="Arial" w:eastAsia="Calibri" w:hAnsi="Arial" w:cs="Arial"/>
          <w:szCs w:val="24"/>
        </w:rPr>
      </w:pPr>
      <w:r w:rsidRPr="00373734">
        <w:rPr>
          <w:rFonts w:ascii="Arial" w:eastAsia="Calibri" w:hAnsi="Arial" w:cs="Arial"/>
          <w:szCs w:val="24"/>
        </w:rPr>
        <w:t>The value of grants made to each of the organisations listed below. Please provide the information for each of the three financial years separately, and list all grants separately.</w:t>
      </w:r>
    </w:p>
    <w:p w14:paraId="168169C8" w14:textId="77777777" w:rsidR="00373734" w:rsidRPr="00373734" w:rsidRDefault="00373734" w:rsidP="00373734">
      <w:pPr>
        <w:numPr>
          <w:ilvl w:val="0"/>
          <w:numId w:val="5"/>
        </w:numPr>
        <w:ind w:left="284"/>
        <w:textAlignment w:val="baseline"/>
        <w:rPr>
          <w:rFonts w:ascii="Arial" w:eastAsia="Calibri" w:hAnsi="Arial" w:cs="Arial"/>
          <w:szCs w:val="24"/>
        </w:rPr>
      </w:pPr>
      <w:r w:rsidRPr="00373734">
        <w:rPr>
          <w:rFonts w:ascii="Arial" w:eastAsia="Calibri" w:hAnsi="Arial" w:cs="Arial"/>
          <w:szCs w:val="24"/>
        </w:rPr>
        <w:t>The value of loans made to each of the organisations listed below. Please provide the information for each of the three financial years separately, and list all loans separately. </w:t>
      </w:r>
    </w:p>
    <w:p w14:paraId="7DC3E668" w14:textId="77777777" w:rsidR="00373734" w:rsidRPr="00373734" w:rsidRDefault="00373734" w:rsidP="00373734">
      <w:pPr>
        <w:spacing w:before="200" w:after="200"/>
        <w:rPr>
          <w:rFonts w:ascii="Calibri" w:eastAsia="Calibri" w:hAnsi="Calibri" w:cs="Calibri"/>
          <w:szCs w:val="24"/>
        </w:rPr>
      </w:pPr>
      <w:r w:rsidRPr="00373734">
        <w:rPr>
          <w:rFonts w:ascii="Arial" w:eastAsia="Calibri" w:hAnsi="Arial" w:cs="Arial"/>
          <w:szCs w:val="24"/>
        </w:rPr>
        <w:t>The payments made to charities and third sector organisations relate to the following only:</w:t>
      </w:r>
    </w:p>
    <w:p w14:paraId="5F6B324B"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Royal Society for Public Health (RSPH)</w:t>
      </w:r>
    </w:p>
    <w:p w14:paraId="2E7553AB"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Independent Sage</w:t>
      </w:r>
    </w:p>
    <w:p w14:paraId="66179A97"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NHS Confederation</w:t>
      </w:r>
    </w:p>
    <w:p w14:paraId="32927A08"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Keep our NHS public</w:t>
      </w:r>
    </w:p>
    <w:p w14:paraId="38606351"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SOS NHS</w:t>
      </w:r>
    </w:p>
    <w:p w14:paraId="64CEEF2B"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Care and Support Workers Organise</w:t>
      </w:r>
    </w:p>
    <w:p w14:paraId="71BA2F2B"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UNITED VOICES OF THE WORLD</w:t>
      </w:r>
    </w:p>
    <w:p w14:paraId="0EB069B4"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Health Campaigns Together </w:t>
      </w:r>
    </w:p>
    <w:p w14:paraId="20D3D338"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Doctors for the NHS</w:t>
      </w:r>
    </w:p>
    <w:p w14:paraId="795AC0FD"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We Own It</w:t>
      </w:r>
    </w:p>
    <w:p w14:paraId="29AAAC36"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 xml:space="preserve">The People's Assembly </w:t>
      </w:r>
    </w:p>
    <w:p w14:paraId="139D68AA" w14:textId="77777777" w:rsidR="00373734" w:rsidRPr="00373734" w:rsidRDefault="00373734" w:rsidP="00373734">
      <w:pPr>
        <w:numPr>
          <w:ilvl w:val="0"/>
          <w:numId w:val="6"/>
        </w:numPr>
        <w:tabs>
          <w:tab w:val="clear" w:pos="720"/>
        </w:tabs>
        <w:ind w:left="284"/>
        <w:textAlignment w:val="baseline"/>
        <w:rPr>
          <w:rFonts w:ascii="Arial" w:eastAsia="Calibri" w:hAnsi="Arial" w:cs="Arial"/>
          <w:color w:val="000000"/>
          <w:szCs w:val="24"/>
        </w:rPr>
      </w:pPr>
      <w:r w:rsidRPr="00373734">
        <w:rPr>
          <w:rFonts w:ascii="Arial" w:eastAsia="Calibri" w:hAnsi="Arial" w:cs="Arial"/>
          <w:color w:val="000000"/>
          <w:szCs w:val="24"/>
        </w:rPr>
        <w:t>Zero Covid Coalition</w:t>
      </w:r>
    </w:p>
    <w:p w14:paraId="18C4FB75" w14:textId="77777777" w:rsidR="00373734" w:rsidRPr="00373734" w:rsidRDefault="00373734" w:rsidP="00373734">
      <w:pPr>
        <w:numPr>
          <w:ilvl w:val="0"/>
          <w:numId w:val="6"/>
        </w:numPr>
        <w:tabs>
          <w:tab w:val="clear" w:pos="720"/>
        </w:tabs>
        <w:ind w:left="284"/>
        <w:textAlignment w:val="baseline"/>
        <w:rPr>
          <w:rFonts w:ascii="Arial" w:eastAsia="Calibri" w:hAnsi="Arial" w:cs="Arial"/>
          <w:color w:val="000000"/>
          <w:szCs w:val="24"/>
        </w:rPr>
      </w:pPr>
      <w:r w:rsidRPr="00373734">
        <w:rPr>
          <w:rFonts w:ascii="Arial" w:eastAsia="Calibri" w:hAnsi="Arial" w:cs="Arial"/>
          <w:color w:val="000000"/>
          <w:szCs w:val="24"/>
        </w:rPr>
        <w:t>Health Campaign Together</w:t>
      </w:r>
    </w:p>
    <w:p w14:paraId="57EF65BC"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Docs Not Cops</w:t>
      </w:r>
    </w:p>
    <w:p w14:paraId="161EB9E9"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British Association of Physicians of Indian Origin</w:t>
      </w:r>
    </w:p>
    <w:p w14:paraId="33CEE69A"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Association of Pakistani Physicians of Northern Europe</w:t>
      </w:r>
    </w:p>
    <w:p w14:paraId="23717C50"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Royal College of General Practitioners</w:t>
      </w:r>
    </w:p>
    <w:p w14:paraId="53BABEC9"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 xml:space="preserve">Royal College of Ophthalmology </w:t>
      </w:r>
    </w:p>
    <w:p w14:paraId="3E3607ED" w14:textId="77777777" w:rsidR="00373734" w:rsidRPr="00373734" w:rsidRDefault="00373734" w:rsidP="00373734">
      <w:pPr>
        <w:numPr>
          <w:ilvl w:val="0"/>
          <w:numId w:val="6"/>
        </w:numPr>
        <w:tabs>
          <w:tab w:val="clear" w:pos="720"/>
        </w:tabs>
        <w:ind w:left="284"/>
        <w:textAlignment w:val="baseline"/>
        <w:rPr>
          <w:rFonts w:ascii="Arial" w:eastAsia="Calibri" w:hAnsi="Arial" w:cs="Arial"/>
          <w:szCs w:val="24"/>
        </w:rPr>
      </w:pPr>
      <w:r w:rsidRPr="00373734">
        <w:rPr>
          <w:rFonts w:ascii="Arial" w:eastAsia="Calibri" w:hAnsi="Arial" w:cs="Arial"/>
          <w:szCs w:val="24"/>
        </w:rPr>
        <w:t xml:space="preserve">Royal College of Psychiatrists </w:t>
      </w:r>
    </w:p>
    <w:p w14:paraId="39DADFF2" w14:textId="77777777" w:rsidR="00373734" w:rsidRPr="00373734" w:rsidRDefault="00373734" w:rsidP="00373734">
      <w:pPr>
        <w:numPr>
          <w:ilvl w:val="0"/>
          <w:numId w:val="6"/>
        </w:numPr>
        <w:tabs>
          <w:tab w:val="clear" w:pos="720"/>
        </w:tabs>
        <w:spacing w:before="100" w:beforeAutospacing="1" w:after="100" w:afterAutospacing="1"/>
        <w:ind w:left="284"/>
        <w:textAlignment w:val="baseline"/>
        <w:rPr>
          <w:rFonts w:ascii="Arial" w:eastAsia="Calibri" w:hAnsi="Arial" w:cs="Arial"/>
          <w:szCs w:val="24"/>
        </w:rPr>
      </w:pPr>
      <w:r w:rsidRPr="00373734">
        <w:rPr>
          <w:rFonts w:ascii="Arial" w:eastAsia="Calibri" w:hAnsi="Arial" w:cs="Arial"/>
          <w:szCs w:val="24"/>
        </w:rPr>
        <w:t xml:space="preserve">Royal College of Obstetricians and Gynaecologists </w:t>
      </w:r>
    </w:p>
    <w:p w14:paraId="7A5E9C1A" w14:textId="77777777" w:rsidR="0019072A" w:rsidRPr="00373734" w:rsidRDefault="0019072A" w:rsidP="0019072A">
      <w:pPr>
        <w:rPr>
          <w:rFonts w:ascii="Arial" w:hAnsi="Arial" w:cs="Arial"/>
          <w:szCs w:val="24"/>
        </w:rPr>
      </w:pPr>
    </w:p>
    <w:p w14:paraId="7CFC2991" w14:textId="27464CB8" w:rsidR="0019072A" w:rsidRPr="00373734" w:rsidRDefault="00373734" w:rsidP="0019072A">
      <w:pPr>
        <w:rPr>
          <w:rFonts w:ascii="Arial" w:hAnsi="Arial" w:cs="Arial"/>
          <w:szCs w:val="24"/>
        </w:rPr>
      </w:pPr>
      <w:r>
        <w:rPr>
          <w:rFonts w:ascii="Arial" w:hAnsi="Arial" w:cs="Arial"/>
          <w:szCs w:val="24"/>
        </w:rPr>
        <w:t>1</w:t>
      </w:r>
      <w:r w:rsidRPr="00373734">
        <w:rPr>
          <w:rFonts w:ascii="Arial" w:hAnsi="Arial" w:cs="Arial"/>
          <w:szCs w:val="24"/>
        </w:rPr>
        <w:t xml:space="preserve"> February</w:t>
      </w:r>
      <w:r w:rsidR="0019072A" w:rsidRPr="00373734">
        <w:rPr>
          <w:rFonts w:ascii="Arial" w:hAnsi="Arial" w:cs="Arial"/>
          <w:szCs w:val="24"/>
        </w:rPr>
        <w:t xml:space="preserve"> 2022</w:t>
      </w:r>
    </w:p>
    <w:p w14:paraId="69E5A50D" w14:textId="77777777" w:rsidR="0019072A" w:rsidRPr="0019072A" w:rsidRDefault="0019072A" w:rsidP="0019072A">
      <w:pPr>
        <w:ind w:left="360" w:hanging="360"/>
        <w:rPr>
          <w:rFonts w:ascii="Arial" w:hAnsi="Arial" w:cs="Arial"/>
          <w:u w:val="single"/>
        </w:rPr>
      </w:pPr>
    </w:p>
    <w:p w14:paraId="6F5A1EBD" w14:textId="77777777" w:rsidR="007D2A99" w:rsidRDefault="007D2A99" w:rsidP="007D2A99">
      <w:pPr>
        <w:rPr>
          <w:rFonts w:ascii="Arial" w:hAnsi="Arial" w:cs="Arial"/>
        </w:rPr>
      </w:pPr>
    </w:p>
    <w:p w14:paraId="0F96B3DF" w14:textId="13BF8462" w:rsidR="00EB4996" w:rsidRPr="00373734" w:rsidRDefault="007D2A99" w:rsidP="00E431AF">
      <w:pPr>
        <w:pStyle w:val="ListParagraph"/>
        <w:numPr>
          <w:ilvl w:val="0"/>
          <w:numId w:val="1"/>
        </w:numPr>
        <w:ind w:left="0" w:hanging="567"/>
        <w:rPr>
          <w:rFonts w:ascii="Arial" w:hAnsi="Arial" w:cs="Arial"/>
          <w:szCs w:val="24"/>
        </w:rPr>
      </w:pPr>
      <w:r w:rsidRPr="00373734">
        <w:rPr>
          <w:rFonts w:ascii="Arial" w:hAnsi="Arial" w:cs="Arial"/>
          <w:b/>
          <w:bCs/>
          <w:szCs w:val="24"/>
          <w:u w:val="single"/>
        </w:rPr>
        <w:t>Response</w:t>
      </w:r>
      <w:r w:rsidRPr="00373734">
        <w:rPr>
          <w:rFonts w:ascii="Arial" w:hAnsi="Arial" w:cs="Arial"/>
          <w:szCs w:val="24"/>
        </w:rPr>
        <w:t>:</w:t>
      </w:r>
    </w:p>
    <w:p w14:paraId="237F18AD" w14:textId="77777777" w:rsidR="009930EA" w:rsidRPr="00373734" w:rsidRDefault="009930EA" w:rsidP="00EB4996">
      <w:pPr>
        <w:rPr>
          <w:rFonts w:ascii="Arial" w:hAnsi="Arial" w:cs="Arial"/>
          <w:szCs w:val="24"/>
        </w:rPr>
      </w:pPr>
    </w:p>
    <w:p w14:paraId="00FBD350" w14:textId="67B75E53" w:rsidR="00373734" w:rsidRPr="00373734" w:rsidRDefault="00E431AF" w:rsidP="00373734">
      <w:pPr>
        <w:ind w:hanging="567"/>
        <w:rPr>
          <w:rFonts w:ascii="Arial" w:eastAsia="Calibri" w:hAnsi="Arial" w:cs="Arial"/>
          <w:szCs w:val="24"/>
        </w:rPr>
      </w:pPr>
      <w:r w:rsidRPr="00373734">
        <w:rPr>
          <w:rFonts w:ascii="Arial" w:hAnsi="Arial" w:cs="Arial"/>
          <w:szCs w:val="24"/>
        </w:rPr>
        <w:t>2.1</w:t>
      </w:r>
      <w:r w:rsidRPr="00373734">
        <w:rPr>
          <w:rFonts w:ascii="Arial" w:hAnsi="Arial" w:cs="Arial"/>
          <w:szCs w:val="24"/>
        </w:rPr>
        <w:tab/>
      </w:r>
      <w:r w:rsidR="00373734" w:rsidRPr="00373734">
        <w:rPr>
          <w:rFonts w:ascii="Arial" w:eastAsia="Calibri" w:hAnsi="Arial" w:cs="Arial"/>
          <w:szCs w:val="24"/>
          <w:lang w:val="en-US"/>
        </w:rPr>
        <w:t>I am replying to your information request dated 1 February 2022  </w:t>
      </w:r>
      <w:r w:rsidR="00373734" w:rsidRPr="00373734">
        <w:rPr>
          <w:rFonts w:ascii="Arial" w:eastAsia="Calibri" w:hAnsi="Arial" w:cs="Arial"/>
          <w:szCs w:val="24"/>
        </w:rPr>
        <w:t>relating to payments made to charities and third sector organisations 2018 – 2021.</w:t>
      </w:r>
    </w:p>
    <w:p w14:paraId="57E65524" w14:textId="77777777" w:rsidR="00373734" w:rsidRPr="00373734" w:rsidRDefault="00373734" w:rsidP="00373734">
      <w:pPr>
        <w:ind w:left="-567"/>
        <w:rPr>
          <w:rFonts w:ascii="Arial" w:eastAsia="Calibri" w:hAnsi="Arial" w:cs="Arial"/>
          <w:szCs w:val="24"/>
        </w:rPr>
      </w:pPr>
    </w:p>
    <w:p w14:paraId="656BDE70" w14:textId="77777777" w:rsidR="00373734" w:rsidRDefault="00373734" w:rsidP="00373734">
      <w:pPr>
        <w:rPr>
          <w:rFonts w:ascii="Arial" w:eastAsia="Calibri" w:hAnsi="Arial" w:cs="Arial"/>
          <w:szCs w:val="24"/>
        </w:rPr>
      </w:pPr>
    </w:p>
    <w:p w14:paraId="46847B4B" w14:textId="77777777" w:rsidR="00373734" w:rsidRDefault="00373734" w:rsidP="00373734">
      <w:pPr>
        <w:rPr>
          <w:rFonts w:ascii="Arial" w:eastAsia="Calibri" w:hAnsi="Arial" w:cs="Arial"/>
          <w:szCs w:val="24"/>
        </w:rPr>
      </w:pPr>
    </w:p>
    <w:p w14:paraId="79C2F801" w14:textId="77777777" w:rsidR="00373734" w:rsidRDefault="00373734" w:rsidP="00373734">
      <w:pPr>
        <w:rPr>
          <w:rFonts w:ascii="Arial" w:eastAsia="Calibri" w:hAnsi="Arial" w:cs="Arial"/>
          <w:szCs w:val="24"/>
        </w:rPr>
      </w:pPr>
    </w:p>
    <w:p w14:paraId="73C5E8EC" w14:textId="77777777" w:rsidR="00373734" w:rsidRDefault="00373734" w:rsidP="00373734">
      <w:pPr>
        <w:rPr>
          <w:rFonts w:ascii="Arial" w:eastAsia="Calibri" w:hAnsi="Arial" w:cs="Arial"/>
          <w:szCs w:val="24"/>
        </w:rPr>
      </w:pPr>
    </w:p>
    <w:p w14:paraId="436FA30B" w14:textId="77777777" w:rsidR="00373734" w:rsidRDefault="00373734" w:rsidP="00373734">
      <w:pPr>
        <w:rPr>
          <w:rFonts w:ascii="Arial" w:eastAsia="Calibri" w:hAnsi="Arial" w:cs="Arial"/>
          <w:szCs w:val="24"/>
        </w:rPr>
      </w:pPr>
    </w:p>
    <w:p w14:paraId="3A5D1EF2" w14:textId="0A85A09F" w:rsidR="00373734" w:rsidRPr="00373734" w:rsidRDefault="00373734" w:rsidP="00373734">
      <w:pPr>
        <w:rPr>
          <w:rFonts w:ascii="Arial" w:eastAsia="Calibri" w:hAnsi="Arial" w:cs="Arial"/>
          <w:szCs w:val="24"/>
        </w:rPr>
      </w:pPr>
      <w:r w:rsidRPr="00373734">
        <w:rPr>
          <w:rFonts w:ascii="Arial" w:eastAsia="Calibri" w:hAnsi="Arial" w:cs="Arial"/>
          <w:szCs w:val="24"/>
        </w:rPr>
        <w:t>The Independent Anti-Slavery Commission made no grants or loans to the organisations cited during those time periods.</w:t>
      </w:r>
    </w:p>
    <w:p w14:paraId="69BF7A82" w14:textId="2178F931" w:rsidR="0019072A" w:rsidRPr="00373734" w:rsidRDefault="0019072A" w:rsidP="0019072A">
      <w:pPr>
        <w:ind w:hanging="567"/>
        <w:rPr>
          <w:rFonts w:ascii="Arial" w:eastAsia="Calibri" w:hAnsi="Arial" w:cs="Arial"/>
          <w:szCs w:val="24"/>
          <w:lang w:val="en-US"/>
        </w:rPr>
      </w:pPr>
    </w:p>
    <w:p w14:paraId="357B31C1" w14:textId="1D5CC328" w:rsidR="001C0993" w:rsidRPr="00373734" w:rsidRDefault="001C0993" w:rsidP="001C0993">
      <w:pPr>
        <w:jc w:val="both"/>
        <w:rPr>
          <w:rFonts w:ascii="Arial" w:hAnsi="Arial" w:cs="Arial"/>
          <w:szCs w:val="24"/>
        </w:rPr>
      </w:pPr>
      <w:r w:rsidRPr="00373734">
        <w:rPr>
          <w:rFonts w:ascii="Arial" w:hAnsi="Arial" w:cs="Arial"/>
          <w:szCs w:val="24"/>
        </w:rPr>
        <w:t xml:space="preserve">If you are dissatisfied with this response,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5230876A" w14:textId="77777777" w:rsidR="001C0993" w:rsidRPr="00373734" w:rsidRDefault="001C0993" w:rsidP="001C0993">
      <w:pPr>
        <w:jc w:val="both"/>
        <w:rPr>
          <w:rFonts w:ascii="Arial" w:hAnsi="Arial" w:cs="Arial"/>
          <w:szCs w:val="24"/>
        </w:rPr>
      </w:pPr>
    </w:p>
    <w:p w14:paraId="2AC7D73C" w14:textId="77777777" w:rsidR="001C0993" w:rsidRPr="00373734" w:rsidRDefault="001C0993" w:rsidP="001C0993">
      <w:pPr>
        <w:jc w:val="both"/>
        <w:rPr>
          <w:rFonts w:ascii="Arial" w:hAnsi="Arial" w:cs="Arial"/>
          <w:szCs w:val="24"/>
        </w:rPr>
      </w:pPr>
      <w:r w:rsidRPr="00373734">
        <w:rPr>
          <w:rFonts w:ascii="Arial" w:hAnsi="Arial" w:cs="Arial"/>
          <w:szCs w:val="24"/>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7917756E" w14:textId="1400E7D0" w:rsidR="001C0993" w:rsidRDefault="001C0993" w:rsidP="0019072A">
      <w:pPr>
        <w:ind w:hanging="567"/>
        <w:rPr>
          <w:rFonts w:ascii="Arial" w:eastAsia="Calibri" w:hAnsi="Arial" w:cs="Arial"/>
          <w:szCs w:val="24"/>
          <w:lang w:val="en-US"/>
        </w:rPr>
      </w:pPr>
    </w:p>
    <w:p w14:paraId="7C6A4450" w14:textId="5CF46BB5" w:rsidR="00FE34C9" w:rsidRPr="00EB4996" w:rsidRDefault="00373734" w:rsidP="001C0993">
      <w:pPr>
        <w:rPr>
          <w:rFonts w:ascii="Arial" w:hAnsi="Arial" w:cs="Arial"/>
        </w:rPr>
      </w:pPr>
      <w:r>
        <w:rPr>
          <w:rFonts w:ascii="Arial" w:eastAsia="Calibri" w:hAnsi="Arial" w:cs="Arial"/>
          <w:szCs w:val="24"/>
          <w:lang w:val="en-US"/>
        </w:rPr>
        <w:t>2 February 2022</w:t>
      </w:r>
    </w:p>
    <w:sectPr w:rsidR="00FE34C9" w:rsidRPr="00EB4996">
      <w:headerReference w:type="default" r:id="rId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155D" w14:textId="77777777" w:rsidR="009B3598" w:rsidRDefault="009B3598" w:rsidP="00102FD5">
      <w:r>
        <w:separator/>
      </w:r>
    </w:p>
  </w:endnote>
  <w:endnote w:type="continuationSeparator" w:id="0">
    <w:p w14:paraId="71301F30" w14:textId="77777777" w:rsidR="009B3598" w:rsidRDefault="009B3598"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7C07" w14:textId="77777777" w:rsidR="009B3598" w:rsidRDefault="009B3598" w:rsidP="00102FD5">
      <w:r>
        <w:separator/>
      </w:r>
    </w:p>
  </w:footnote>
  <w:footnote w:type="continuationSeparator" w:id="0">
    <w:p w14:paraId="1BAE23D5" w14:textId="77777777" w:rsidR="009B3598" w:rsidRDefault="009B3598"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32AF58D0" w:rsidR="0007502D" w:rsidRDefault="0019072A">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4F5DEA"/>
    <w:multiLevelType w:val="multilevel"/>
    <w:tmpl w:val="5144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CA0"/>
    <w:multiLevelType w:val="hybridMultilevel"/>
    <w:tmpl w:val="4A4A695C"/>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1514974"/>
    <w:multiLevelType w:val="multilevel"/>
    <w:tmpl w:val="621A0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E4BAE"/>
    <w:multiLevelType w:val="hybridMultilevel"/>
    <w:tmpl w:val="50E01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684079B"/>
    <w:multiLevelType w:val="hybridMultilevel"/>
    <w:tmpl w:val="1D5A801A"/>
    <w:lvl w:ilvl="0" w:tplc="08090001">
      <w:start w:val="1"/>
      <w:numFmt w:val="bullet"/>
      <w:lvlText w:val=""/>
      <w:lvlJc w:val="left"/>
      <w:pPr>
        <w:ind w:left="1080" w:hanging="360"/>
      </w:pPr>
      <w:rPr>
        <w:rFonts w:ascii="Symbol" w:hAnsi="Symbol" w:hint="default"/>
      </w:rPr>
    </w:lvl>
    <w:lvl w:ilvl="1" w:tplc="DD78C7A0">
      <w:numFmt w:val="bullet"/>
      <w:lvlText w:val="•"/>
      <w:lvlJc w:val="left"/>
      <w:pPr>
        <w:ind w:left="2388" w:hanging="948"/>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65546779">
    <w:abstractNumId w:val="0"/>
  </w:num>
  <w:num w:numId="2" w16cid:durableId="1086270075">
    <w:abstractNumId w:val="5"/>
  </w:num>
  <w:num w:numId="3" w16cid:durableId="1906601690">
    <w:abstractNumId w:val="4"/>
  </w:num>
  <w:num w:numId="4" w16cid:durableId="2146459535">
    <w:abstractNumId w:val="2"/>
  </w:num>
  <w:num w:numId="5" w16cid:durableId="1426684804">
    <w:abstractNumId w:val="3"/>
  </w:num>
  <w:num w:numId="6" w16cid:durableId="208112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102FD5"/>
    <w:rsid w:val="001518BE"/>
    <w:rsid w:val="00154378"/>
    <w:rsid w:val="0019072A"/>
    <w:rsid w:val="001B7C2E"/>
    <w:rsid w:val="001C0993"/>
    <w:rsid w:val="001D4833"/>
    <w:rsid w:val="00222DA5"/>
    <w:rsid w:val="00373734"/>
    <w:rsid w:val="00386168"/>
    <w:rsid w:val="003E34FF"/>
    <w:rsid w:val="003F5A7C"/>
    <w:rsid w:val="00601585"/>
    <w:rsid w:val="00657035"/>
    <w:rsid w:val="007D2A99"/>
    <w:rsid w:val="008553CA"/>
    <w:rsid w:val="00864B7B"/>
    <w:rsid w:val="008E3BCD"/>
    <w:rsid w:val="0092132A"/>
    <w:rsid w:val="009930EA"/>
    <w:rsid w:val="009A638C"/>
    <w:rsid w:val="009B3598"/>
    <w:rsid w:val="00AE49BD"/>
    <w:rsid w:val="00B35102"/>
    <w:rsid w:val="00DB01AB"/>
    <w:rsid w:val="00E431AF"/>
    <w:rsid w:val="00E624CE"/>
    <w:rsid w:val="00EB4996"/>
    <w:rsid w:val="00F04AE4"/>
    <w:rsid w:val="00F76FB8"/>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572">
      <w:bodyDiv w:val="1"/>
      <w:marLeft w:val="0"/>
      <w:marRight w:val="0"/>
      <w:marTop w:val="0"/>
      <w:marBottom w:val="0"/>
      <w:divBdr>
        <w:top w:val="none" w:sz="0" w:space="0" w:color="auto"/>
        <w:left w:val="none" w:sz="0" w:space="0" w:color="auto"/>
        <w:bottom w:val="none" w:sz="0" w:space="0" w:color="auto"/>
        <w:right w:val="none" w:sz="0" w:space="0" w:color="auto"/>
      </w:divBdr>
    </w:div>
    <w:div w:id="425465639">
      <w:bodyDiv w:val="1"/>
      <w:marLeft w:val="0"/>
      <w:marRight w:val="0"/>
      <w:marTop w:val="0"/>
      <w:marBottom w:val="0"/>
      <w:divBdr>
        <w:top w:val="none" w:sz="0" w:space="0" w:color="auto"/>
        <w:left w:val="none" w:sz="0" w:space="0" w:color="auto"/>
        <w:bottom w:val="none" w:sz="0" w:space="0" w:color="auto"/>
        <w:right w:val="none" w:sz="0" w:space="0" w:color="auto"/>
      </w:divBdr>
    </w:div>
    <w:div w:id="1042174185">
      <w:bodyDiv w:val="1"/>
      <w:marLeft w:val="0"/>
      <w:marRight w:val="0"/>
      <w:marTop w:val="0"/>
      <w:marBottom w:val="0"/>
      <w:divBdr>
        <w:top w:val="none" w:sz="0" w:space="0" w:color="auto"/>
        <w:left w:val="none" w:sz="0" w:space="0" w:color="auto"/>
        <w:bottom w:val="none" w:sz="0" w:space="0" w:color="auto"/>
        <w:right w:val="none" w:sz="0" w:space="0" w:color="auto"/>
      </w:divBdr>
    </w:div>
    <w:div w:id="20801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2022-04-26T11:36:00Z</dcterms:created>
  <dcterms:modified xsi:type="dcterms:W3CDTF">2022-04-26T11:36:00Z</dcterms:modified>
</cp:coreProperties>
</file>