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E03F28">
      <w:pPr>
        <w:tabs>
          <w:tab w:val="left" w:pos="284"/>
        </w:tabs>
        <w:jc w:val="center"/>
        <w:rPr>
          <w:rFonts w:ascii="Arial" w:hAnsi="Arial" w:cs="Arial"/>
          <w:u w:val="single"/>
        </w:rPr>
      </w:pPr>
    </w:p>
    <w:p w14:paraId="69CFFE43" w14:textId="77777777" w:rsidR="0019072A" w:rsidRDefault="0019072A" w:rsidP="0019072A">
      <w:pPr>
        <w:jc w:val="center"/>
        <w:rPr>
          <w:rFonts w:ascii="Arial" w:hAnsi="Arial" w:cs="Arial"/>
          <w:b/>
          <w:bCs/>
          <w:u w:val="single"/>
        </w:rPr>
      </w:pPr>
    </w:p>
    <w:p w14:paraId="795D0E98" w14:textId="350D2F1C" w:rsidR="00E03F28" w:rsidRPr="00FF4DA0" w:rsidRDefault="00FF4DA0" w:rsidP="00FF4DA0">
      <w:pPr>
        <w:ind w:right="-51" w:hanging="426"/>
        <w:jc w:val="center"/>
        <w:rPr>
          <w:rFonts w:ascii="Arial" w:hAnsi="Arial" w:cs="Arial"/>
          <w:b/>
          <w:bCs/>
          <w:u w:val="single"/>
        </w:rPr>
      </w:pPr>
      <w:r>
        <w:rPr>
          <w:rFonts w:ascii="Arial" w:hAnsi="Arial" w:cs="Arial"/>
          <w:b/>
          <w:bCs/>
          <w:u w:val="single"/>
        </w:rPr>
        <w:t>T</w:t>
      </w:r>
      <w:r w:rsidRPr="00FF4DA0">
        <w:rPr>
          <w:rFonts w:ascii="Arial" w:hAnsi="Arial" w:cs="Arial"/>
          <w:b/>
          <w:bCs/>
          <w:u w:val="single"/>
        </w:rPr>
        <w:t>he British Indian Ocean Territory or the Chagos Archipelago</w:t>
      </w:r>
    </w:p>
    <w:p w14:paraId="3EEB54D1" w14:textId="6521AB44" w:rsidR="0019072A" w:rsidRDefault="0019072A" w:rsidP="00FF4DA0">
      <w:pPr>
        <w:ind w:right="-618" w:hanging="1134"/>
        <w:jc w:val="center"/>
        <w:rPr>
          <w:rFonts w:ascii="Arial" w:hAnsi="Arial" w:cs="Arial"/>
          <w:b/>
          <w:bCs/>
          <w:u w:val="single"/>
        </w:rPr>
      </w:pPr>
    </w:p>
    <w:p w14:paraId="57B44BA2" w14:textId="6B5A2F92" w:rsidR="0019072A" w:rsidRDefault="0019072A" w:rsidP="0019072A">
      <w:pPr>
        <w:jc w:val="center"/>
        <w:rPr>
          <w:rFonts w:ascii="Arial" w:hAnsi="Arial" w:cs="Arial"/>
        </w:rPr>
      </w:pPr>
    </w:p>
    <w:p w14:paraId="5646A5F9" w14:textId="68E9BC31" w:rsidR="007D2A99" w:rsidRDefault="007D2A99" w:rsidP="00E431AF">
      <w:pPr>
        <w:pStyle w:val="ListParagraph"/>
        <w:numPr>
          <w:ilvl w:val="0"/>
          <w:numId w:val="1"/>
        </w:numPr>
        <w:ind w:left="0" w:hanging="567"/>
        <w:rPr>
          <w:rFonts w:ascii="Arial" w:hAnsi="Arial" w:cs="Arial"/>
          <w:u w:val="single"/>
        </w:rPr>
      </w:pPr>
      <w:r w:rsidRPr="0019072A">
        <w:rPr>
          <w:rFonts w:ascii="Arial" w:hAnsi="Arial" w:cs="Arial"/>
          <w:b/>
          <w:bCs/>
          <w:u w:val="single"/>
        </w:rPr>
        <w:t>Request</w:t>
      </w:r>
      <w:r w:rsidRPr="0007502D">
        <w:rPr>
          <w:rFonts w:ascii="Arial" w:hAnsi="Arial" w:cs="Arial"/>
          <w:u w:val="single"/>
        </w:rPr>
        <w:t>:</w:t>
      </w:r>
    </w:p>
    <w:p w14:paraId="771CCA6D" w14:textId="77777777" w:rsidR="0019072A" w:rsidRDefault="0019072A" w:rsidP="0019072A">
      <w:pPr>
        <w:ind w:left="360"/>
        <w:rPr>
          <w:rFonts w:ascii="Arial" w:hAnsi="Arial" w:cs="Arial"/>
          <w:color w:val="1F497D"/>
        </w:rPr>
      </w:pPr>
    </w:p>
    <w:p w14:paraId="0488EF3B" w14:textId="491E4554" w:rsidR="00FF4DA0" w:rsidRDefault="00E03F28" w:rsidP="00FF4DA0">
      <w:pPr>
        <w:pStyle w:val="PlainText"/>
        <w:ind w:hanging="567"/>
      </w:pPr>
      <w:r w:rsidRPr="00E03F28">
        <w:rPr>
          <w:rFonts w:eastAsia="Calibri" w:cs="Arial"/>
          <w:color w:val="000000"/>
          <w:szCs w:val="24"/>
        </w:rPr>
        <w:t>1.1</w:t>
      </w:r>
      <w:r w:rsidRPr="00E03F28">
        <w:rPr>
          <w:rFonts w:eastAsia="Calibri" w:cs="Arial"/>
          <w:color w:val="000000"/>
          <w:szCs w:val="24"/>
        </w:rPr>
        <w:tab/>
      </w:r>
      <w:r w:rsidR="00FF4DA0">
        <w:t>In 1967-1973, the Chagossian people, descendants of slaves emancipated under the Slavery Abolition Act 1833,  were forcibly deported from their homes of five generations in the British Indian Ocean Territory by the Crown on the grounds they were contract laborers with no connection to the land. I am seeking any information the Commission may have on British Indian Ocean Territory or the Chagos Archipelago which were formerly dependent territory of Mauritius and the Seychelles.</w:t>
      </w:r>
    </w:p>
    <w:p w14:paraId="3CBAA39E" w14:textId="144E5115" w:rsidR="00E03F28" w:rsidRDefault="00E03F28" w:rsidP="00FF4DA0">
      <w:pPr>
        <w:ind w:hanging="567"/>
        <w:jc w:val="both"/>
        <w:rPr>
          <w:rFonts w:ascii="Arial" w:eastAsia="Calibri" w:hAnsi="Arial" w:cs="Arial"/>
          <w:szCs w:val="24"/>
        </w:rPr>
      </w:pPr>
    </w:p>
    <w:p w14:paraId="69E5A50D" w14:textId="26951CBC" w:rsidR="0019072A" w:rsidRPr="0019072A" w:rsidRDefault="00FF4DA0" w:rsidP="00FF4DA0">
      <w:pPr>
        <w:jc w:val="both"/>
        <w:rPr>
          <w:rFonts w:ascii="Arial" w:hAnsi="Arial" w:cs="Arial"/>
          <w:u w:val="single"/>
        </w:rPr>
      </w:pPr>
      <w:r>
        <w:rPr>
          <w:rFonts w:ascii="Arial" w:eastAsia="Calibri" w:hAnsi="Arial" w:cs="Arial"/>
          <w:szCs w:val="24"/>
        </w:rPr>
        <w:t>16 November 2021</w:t>
      </w:r>
    </w:p>
    <w:p w14:paraId="6F5A1EBD" w14:textId="77777777" w:rsidR="007D2A99" w:rsidRDefault="007D2A99" w:rsidP="007D2A99">
      <w:pPr>
        <w:rPr>
          <w:rFonts w:ascii="Arial" w:hAnsi="Arial" w:cs="Arial"/>
        </w:rPr>
      </w:pPr>
    </w:p>
    <w:p w14:paraId="0F96B3DF" w14:textId="13BF8462" w:rsidR="00EB4996" w:rsidRPr="0007502D" w:rsidRDefault="007D2A99" w:rsidP="00E431AF">
      <w:pPr>
        <w:pStyle w:val="ListParagraph"/>
        <w:numPr>
          <w:ilvl w:val="0"/>
          <w:numId w:val="1"/>
        </w:numPr>
        <w:ind w:left="0" w:hanging="567"/>
        <w:rPr>
          <w:rFonts w:ascii="Arial" w:hAnsi="Arial" w:cs="Arial"/>
        </w:rPr>
      </w:pPr>
      <w:r w:rsidRPr="0019072A">
        <w:rPr>
          <w:rFonts w:ascii="Arial" w:hAnsi="Arial" w:cs="Arial"/>
          <w:b/>
          <w:bCs/>
          <w:u w:val="single"/>
        </w:rPr>
        <w:t>Response</w:t>
      </w:r>
      <w:r w:rsidRPr="0007502D">
        <w:rPr>
          <w:rFonts w:ascii="Arial" w:hAnsi="Arial" w:cs="Arial"/>
        </w:rPr>
        <w:t>:</w:t>
      </w:r>
    </w:p>
    <w:p w14:paraId="237F18AD" w14:textId="77777777" w:rsidR="009930EA" w:rsidRDefault="009930EA" w:rsidP="00EB4996">
      <w:pPr>
        <w:rPr>
          <w:rFonts w:ascii="Arial" w:hAnsi="Arial" w:cs="Arial"/>
        </w:rPr>
      </w:pPr>
    </w:p>
    <w:p w14:paraId="5057642C" w14:textId="77777777" w:rsidR="00FF4DA0" w:rsidRPr="00FF4DA0" w:rsidRDefault="00E431AF" w:rsidP="00FF4DA0">
      <w:pPr>
        <w:pStyle w:val="PlainText"/>
        <w:ind w:hanging="567"/>
        <w:rPr>
          <w:rFonts w:eastAsia="Calibri" w:cs="Times New Roman"/>
        </w:rPr>
      </w:pPr>
      <w:r w:rsidRPr="00E03F28">
        <w:rPr>
          <w:rFonts w:cs="Arial"/>
          <w:szCs w:val="24"/>
        </w:rPr>
        <w:t>2.1</w:t>
      </w:r>
      <w:r w:rsidRPr="00E03F28">
        <w:rPr>
          <w:rFonts w:cs="Arial"/>
          <w:szCs w:val="24"/>
        </w:rPr>
        <w:tab/>
      </w:r>
      <w:r w:rsidR="00FF4DA0" w:rsidRPr="00FF4DA0">
        <w:rPr>
          <w:rFonts w:eastAsia="Calibri" w:cs="Times New Roman"/>
        </w:rPr>
        <w:t xml:space="preserve">The Independent Anti-Slavery Commissioner did not engage in any discussion or correspondence in relation to the Chagossian people, British Indian Ocean Territory or the Chagos Archipelago before or since the submission of the FOI.  There is therefore nothing on record to disclose in relation to your request. </w:t>
      </w:r>
    </w:p>
    <w:p w14:paraId="43AABF28" w14:textId="77777777" w:rsidR="00FF4DA0" w:rsidRPr="00FF4DA0" w:rsidRDefault="00FF4DA0" w:rsidP="00FF4DA0">
      <w:pPr>
        <w:rPr>
          <w:rFonts w:ascii="Arial" w:eastAsia="Calibri" w:hAnsi="Arial"/>
          <w:szCs w:val="21"/>
          <w:lang w:eastAsia="en-US"/>
        </w:rPr>
      </w:pPr>
    </w:p>
    <w:p w14:paraId="08742CD7" w14:textId="4BE69D2F" w:rsidR="00FF4DA0" w:rsidRPr="00FF4DA0" w:rsidRDefault="00FF4DA0" w:rsidP="00FF4DA0">
      <w:pPr>
        <w:ind w:hanging="567"/>
        <w:rPr>
          <w:rFonts w:ascii="Arial" w:eastAsia="Calibri" w:hAnsi="Arial"/>
          <w:szCs w:val="21"/>
          <w:lang w:eastAsia="en-US"/>
        </w:rPr>
      </w:pPr>
      <w:r>
        <w:rPr>
          <w:rFonts w:ascii="Arial" w:eastAsia="Calibri" w:hAnsi="Arial"/>
          <w:szCs w:val="21"/>
          <w:lang w:eastAsia="en-US"/>
        </w:rPr>
        <w:t xml:space="preserve">2.2 </w:t>
      </w:r>
      <w:r>
        <w:rPr>
          <w:rFonts w:ascii="Arial" w:eastAsia="Calibri" w:hAnsi="Arial"/>
          <w:szCs w:val="21"/>
          <w:lang w:eastAsia="en-US"/>
        </w:rPr>
        <w:tab/>
      </w:r>
      <w:r w:rsidRPr="00FF4DA0">
        <w:rPr>
          <w:rFonts w:ascii="Arial" w:eastAsia="Calibri" w:hAnsi="Arial"/>
          <w:szCs w:val="21"/>
          <w:lang w:eastAsia="en-US"/>
        </w:rPr>
        <w:t xml:space="preserve">If you are dissatisfied with this response,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6BE8D645" w14:textId="77777777" w:rsidR="00FF4DA0" w:rsidRPr="00FF4DA0" w:rsidRDefault="00FF4DA0" w:rsidP="00FF4DA0">
      <w:pPr>
        <w:rPr>
          <w:rFonts w:ascii="Arial" w:eastAsia="Calibri" w:hAnsi="Arial"/>
          <w:szCs w:val="21"/>
          <w:lang w:eastAsia="en-US"/>
        </w:rPr>
      </w:pPr>
    </w:p>
    <w:p w14:paraId="5E710EAC" w14:textId="203D9825" w:rsidR="00FF4DA0" w:rsidRDefault="00FF4DA0" w:rsidP="00FF4DA0">
      <w:pPr>
        <w:ind w:hanging="567"/>
        <w:rPr>
          <w:rFonts w:ascii="Arial" w:eastAsia="Calibri" w:hAnsi="Arial"/>
          <w:szCs w:val="21"/>
          <w:lang w:eastAsia="en-US"/>
        </w:rPr>
      </w:pPr>
      <w:r>
        <w:rPr>
          <w:rFonts w:ascii="Arial" w:eastAsia="Calibri" w:hAnsi="Arial"/>
          <w:szCs w:val="21"/>
          <w:lang w:eastAsia="en-US"/>
        </w:rPr>
        <w:t xml:space="preserve">2.3 </w:t>
      </w:r>
      <w:r>
        <w:rPr>
          <w:rFonts w:ascii="Arial" w:eastAsia="Calibri" w:hAnsi="Arial"/>
          <w:szCs w:val="21"/>
          <w:lang w:eastAsia="en-US"/>
        </w:rPr>
        <w:tab/>
      </w:r>
      <w:r w:rsidRPr="00FF4DA0">
        <w:rPr>
          <w:rFonts w:ascii="Arial" w:eastAsia="Calibri" w:hAnsi="Arial"/>
          <w:szCs w:val="21"/>
          <w:lang w:eastAsia="en-US"/>
        </w:rPr>
        <w:t>As part of any internal review the Department's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r>
        <w:rPr>
          <w:rFonts w:ascii="Arial" w:eastAsia="Calibri" w:hAnsi="Arial"/>
          <w:szCs w:val="21"/>
          <w:lang w:eastAsia="en-US"/>
        </w:rPr>
        <w:t>.</w:t>
      </w:r>
    </w:p>
    <w:p w14:paraId="7602909D" w14:textId="5B72DAAF" w:rsidR="00FF4DA0" w:rsidRDefault="00FF4DA0" w:rsidP="00FF4DA0">
      <w:pPr>
        <w:ind w:hanging="567"/>
        <w:rPr>
          <w:rFonts w:ascii="Arial" w:eastAsia="Calibri" w:hAnsi="Arial"/>
          <w:szCs w:val="21"/>
          <w:lang w:eastAsia="en-US"/>
        </w:rPr>
      </w:pPr>
    </w:p>
    <w:p w14:paraId="603C4AF5" w14:textId="7A4B0B9C" w:rsidR="00FF4DA0" w:rsidRPr="00FF4DA0" w:rsidRDefault="00FF4DA0" w:rsidP="00FF4DA0">
      <w:pPr>
        <w:ind w:hanging="567"/>
        <w:rPr>
          <w:rFonts w:ascii="Arial" w:eastAsia="Calibri" w:hAnsi="Arial"/>
          <w:szCs w:val="21"/>
          <w:lang w:eastAsia="en-US"/>
        </w:rPr>
      </w:pPr>
      <w:r>
        <w:rPr>
          <w:rFonts w:ascii="Arial" w:eastAsia="Calibri" w:hAnsi="Arial"/>
          <w:szCs w:val="21"/>
          <w:lang w:eastAsia="en-US"/>
        </w:rPr>
        <w:tab/>
        <w:t>11 May 2022</w:t>
      </w:r>
    </w:p>
    <w:p w14:paraId="55638428" w14:textId="324CD532" w:rsidR="00E03F28" w:rsidRPr="00E03F28" w:rsidRDefault="00E03F28" w:rsidP="00FF4DA0">
      <w:pPr>
        <w:ind w:hanging="567"/>
        <w:jc w:val="both"/>
        <w:rPr>
          <w:rFonts w:ascii="Arial" w:eastAsia="Calibri" w:hAnsi="Arial" w:cs="Arial"/>
          <w:color w:val="000000"/>
          <w:szCs w:val="24"/>
        </w:rPr>
      </w:pPr>
    </w:p>
    <w:p w14:paraId="69BF7A82" w14:textId="1DBB8C17" w:rsidR="00E03F28" w:rsidRPr="00EB4996" w:rsidRDefault="00E03F28" w:rsidP="00E03F28">
      <w:pPr>
        <w:ind w:hanging="567"/>
        <w:rPr>
          <w:rFonts w:ascii="Arial" w:hAnsi="Arial" w:cs="Arial"/>
        </w:rPr>
      </w:pPr>
    </w:p>
    <w:p w14:paraId="7C6A4450" w14:textId="444EC00D" w:rsidR="00FE34C9" w:rsidRPr="00EB4996" w:rsidRDefault="00FE34C9" w:rsidP="001C0993">
      <w:pPr>
        <w:rPr>
          <w:rFonts w:ascii="Arial" w:hAnsi="Arial" w:cs="Arial"/>
        </w:rPr>
      </w:pPr>
    </w:p>
    <w:sectPr w:rsidR="00FE34C9" w:rsidRPr="00EB4996">
      <w:headerReference w:type="default" r:id="rId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7006" w14:textId="77777777" w:rsidR="00E34F8C" w:rsidRDefault="00E34F8C" w:rsidP="00102FD5">
      <w:r>
        <w:separator/>
      </w:r>
    </w:p>
  </w:endnote>
  <w:endnote w:type="continuationSeparator" w:id="0">
    <w:p w14:paraId="1CF03928" w14:textId="77777777" w:rsidR="00E34F8C" w:rsidRDefault="00E34F8C"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A733" w14:textId="77777777" w:rsidR="00E34F8C" w:rsidRDefault="00E34F8C" w:rsidP="00102FD5">
      <w:r>
        <w:separator/>
      </w:r>
    </w:p>
  </w:footnote>
  <w:footnote w:type="continuationSeparator" w:id="0">
    <w:p w14:paraId="1567EC08" w14:textId="77777777" w:rsidR="00E34F8C" w:rsidRDefault="00E34F8C"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A168F0"/>
    <w:multiLevelType w:val="hybridMultilevel"/>
    <w:tmpl w:val="1EA64C36"/>
    <w:lvl w:ilvl="0" w:tplc="08090001">
      <w:start w:val="1"/>
      <w:numFmt w:val="bullet"/>
      <w:lvlText w:val=""/>
      <w:lvlJc w:val="left"/>
      <w:pPr>
        <w:ind w:left="990" w:hanging="684"/>
      </w:pPr>
      <w:rPr>
        <w:rFonts w:ascii="Symbol" w:hAnsi="Symbol" w:hint="default"/>
        <w:color w:val="000000"/>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15:restartNumberingAfterBreak="0">
    <w:nsid w:val="1E6C4946"/>
    <w:multiLevelType w:val="hybridMultilevel"/>
    <w:tmpl w:val="5FC2245E"/>
    <w:lvl w:ilvl="0" w:tplc="D9144D4A">
      <w:numFmt w:val="bullet"/>
      <w:lvlText w:val="·"/>
      <w:lvlJc w:val="left"/>
      <w:pPr>
        <w:ind w:left="837" w:hanging="684"/>
      </w:pPr>
      <w:rPr>
        <w:rFonts w:ascii="Arial" w:eastAsia="Calibri" w:hAnsi="Arial" w:cs="Arial" w:hint="default"/>
        <w:color w:val="000000"/>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84924D6"/>
    <w:multiLevelType w:val="hybridMultilevel"/>
    <w:tmpl w:val="D7D6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15AB7"/>
    <w:multiLevelType w:val="hybridMultilevel"/>
    <w:tmpl w:val="D362161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642DD7"/>
    <w:multiLevelType w:val="hybridMultilevel"/>
    <w:tmpl w:val="9B8CF78E"/>
    <w:lvl w:ilvl="0" w:tplc="D9144D4A">
      <w:numFmt w:val="bullet"/>
      <w:lvlText w:val="·"/>
      <w:lvlJc w:val="left"/>
      <w:pPr>
        <w:ind w:left="990" w:hanging="684"/>
      </w:pPr>
      <w:rPr>
        <w:rFonts w:ascii="Arial" w:eastAsia="Calibri" w:hAnsi="Arial" w:cs="Arial" w:hint="default"/>
        <w:color w:val="00000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16cid:durableId="396756">
    <w:abstractNumId w:val="0"/>
  </w:num>
  <w:num w:numId="2" w16cid:durableId="688458155">
    <w:abstractNumId w:val="7"/>
  </w:num>
  <w:num w:numId="3" w16cid:durableId="1487475416">
    <w:abstractNumId w:val="4"/>
  </w:num>
  <w:num w:numId="4" w16cid:durableId="1299215756">
    <w:abstractNumId w:val="1"/>
  </w:num>
  <w:num w:numId="5" w16cid:durableId="392314102">
    <w:abstractNumId w:val="5"/>
  </w:num>
  <w:num w:numId="6" w16cid:durableId="306398261">
    <w:abstractNumId w:val="3"/>
  </w:num>
  <w:num w:numId="7" w16cid:durableId="1833986615">
    <w:abstractNumId w:val="8"/>
  </w:num>
  <w:num w:numId="8" w16cid:durableId="174224787">
    <w:abstractNumId w:val="2"/>
  </w:num>
  <w:num w:numId="9" w16cid:durableId="1493990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50C12"/>
    <w:rsid w:val="000741E2"/>
    <w:rsid w:val="0007502D"/>
    <w:rsid w:val="00102FD5"/>
    <w:rsid w:val="001518BE"/>
    <w:rsid w:val="00154378"/>
    <w:rsid w:val="00175B8D"/>
    <w:rsid w:val="0019072A"/>
    <w:rsid w:val="001B7C2E"/>
    <w:rsid w:val="001C0993"/>
    <w:rsid w:val="001D4833"/>
    <w:rsid w:val="00222DA5"/>
    <w:rsid w:val="00284567"/>
    <w:rsid w:val="002E7E87"/>
    <w:rsid w:val="00386168"/>
    <w:rsid w:val="003E34FF"/>
    <w:rsid w:val="003F5A7C"/>
    <w:rsid w:val="00601585"/>
    <w:rsid w:val="00657035"/>
    <w:rsid w:val="007D2A99"/>
    <w:rsid w:val="00864B7B"/>
    <w:rsid w:val="008E3BCD"/>
    <w:rsid w:val="0092132A"/>
    <w:rsid w:val="009930EA"/>
    <w:rsid w:val="009A638C"/>
    <w:rsid w:val="00AE49BD"/>
    <w:rsid w:val="00DB01AB"/>
    <w:rsid w:val="00DE33D5"/>
    <w:rsid w:val="00E03F28"/>
    <w:rsid w:val="00E34F8C"/>
    <w:rsid w:val="00E431AF"/>
    <w:rsid w:val="00E624CE"/>
    <w:rsid w:val="00EB4996"/>
    <w:rsid w:val="00F04AE4"/>
    <w:rsid w:val="00F76FB8"/>
    <w:rsid w:val="00FE34C9"/>
    <w:rsid w:val="00FF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 w:type="paragraph" w:styleId="PlainText">
    <w:name w:val="Plain Text"/>
    <w:basedOn w:val="Normal"/>
    <w:link w:val="PlainTextChar"/>
    <w:uiPriority w:val="99"/>
    <w:semiHidden/>
    <w:unhideWhenUsed/>
    <w:rsid w:val="00FF4DA0"/>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FF4DA0"/>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141891864">
      <w:bodyDiv w:val="1"/>
      <w:marLeft w:val="0"/>
      <w:marRight w:val="0"/>
      <w:marTop w:val="0"/>
      <w:marBottom w:val="0"/>
      <w:divBdr>
        <w:top w:val="none" w:sz="0" w:space="0" w:color="auto"/>
        <w:left w:val="none" w:sz="0" w:space="0" w:color="auto"/>
        <w:bottom w:val="none" w:sz="0" w:space="0" w:color="auto"/>
        <w:right w:val="none" w:sz="0" w:space="0" w:color="auto"/>
      </w:divBdr>
    </w:div>
    <w:div w:id="1215311798">
      <w:bodyDiv w:val="1"/>
      <w:marLeft w:val="0"/>
      <w:marRight w:val="0"/>
      <w:marTop w:val="0"/>
      <w:marBottom w:val="0"/>
      <w:divBdr>
        <w:top w:val="none" w:sz="0" w:space="0" w:color="auto"/>
        <w:left w:val="none" w:sz="0" w:space="0" w:color="auto"/>
        <w:bottom w:val="none" w:sz="0" w:space="0" w:color="auto"/>
        <w:right w:val="none" w:sz="0" w:space="0" w:color="auto"/>
      </w:divBdr>
    </w:div>
    <w:div w:id="1249465394">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2022-05-12T10:49:00Z</dcterms:created>
  <dcterms:modified xsi:type="dcterms:W3CDTF">2022-05-12T10:49:00Z</dcterms:modified>
</cp:coreProperties>
</file>